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6"/>
          <w:rFonts w:hint="eastAsia" w:ascii="方正小标宋简体" w:hAnsi="方正小标宋简体" w:eastAsia="方正小标宋简体" w:cs="方正小标宋简体"/>
          <w:b/>
          <w:bCs w:val="0"/>
          <w:sz w:val="28"/>
          <w:szCs w:val="28"/>
          <w:lang w:val="en-US" w:eastAsia="zh-CN"/>
        </w:rPr>
      </w:pPr>
      <w:bookmarkStart w:id="0" w:name="_GoBack"/>
      <w:bookmarkEnd w:id="0"/>
      <w:r>
        <w:rPr>
          <w:rStyle w:val="6"/>
          <w:rFonts w:hint="eastAsia" w:ascii="方正小标宋简体" w:hAnsi="方正小标宋简体" w:eastAsia="方正小标宋简体" w:cs="方正小标宋简体"/>
          <w:b/>
          <w:bCs w:val="0"/>
          <w:sz w:val="28"/>
          <w:szCs w:val="28"/>
          <w:lang w:eastAsia="zh-CN"/>
        </w:rPr>
        <w:t>附件</w:t>
      </w:r>
      <w:r>
        <w:rPr>
          <w:rStyle w:val="6"/>
          <w:rFonts w:hint="eastAsia" w:ascii="方正小标宋简体" w:hAnsi="方正小标宋简体" w:eastAsia="方正小标宋简体" w:cs="方正小标宋简体"/>
          <w:b/>
          <w:bCs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kern w:val="2"/>
          <w:sz w:val="32"/>
          <w:szCs w:val="32"/>
          <w:lang w:val="en-US" w:eastAsia="zh-CN" w:bidi="ar-SA"/>
        </w:rPr>
      </w:pPr>
      <w:r>
        <w:rPr>
          <w:rStyle w:val="6"/>
          <w:rFonts w:hint="eastAsia" w:ascii="方正小标宋简体" w:hAnsi="方正小标宋简体" w:eastAsia="方正小标宋简体" w:cs="方正小标宋简体"/>
          <w:b/>
          <w:bCs w:val="0"/>
          <w:sz w:val="28"/>
          <w:szCs w:val="28"/>
        </w:rPr>
        <w:tab/>
      </w:r>
      <w:r>
        <w:rPr>
          <w:rFonts w:hint="eastAsia" w:ascii="方正小标宋简体" w:hAnsi="方正小标宋简体" w:eastAsia="方正小标宋简体" w:cs="方正小标宋简体"/>
          <w:b/>
          <w:bCs w:val="0"/>
          <w:kern w:val="2"/>
          <w:sz w:val="32"/>
          <w:szCs w:val="32"/>
          <w:lang w:val="en-US" w:eastAsia="zh-CN" w:bidi="ar-SA"/>
        </w:rPr>
        <w:t>四川省南充高级中学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sz w:val="48"/>
          <w:szCs w:val="48"/>
        </w:rPr>
      </w:pPr>
      <w:r>
        <w:rPr>
          <w:rFonts w:hint="eastAsia" w:ascii="方正小标宋简体" w:hAnsi="方正小标宋简体" w:eastAsia="方正小标宋简体" w:cs="方正小标宋简体"/>
          <w:b/>
          <w:bCs w:val="0"/>
          <w:kern w:val="2"/>
          <w:sz w:val="32"/>
          <w:szCs w:val="32"/>
          <w:lang w:val="en-US" w:eastAsia="zh-CN" w:bidi="ar-SA"/>
        </w:rPr>
        <w:t>2021年第二批“嘉陵江英才工程”公开引进高层次人才岗位条件及要求一览表</w:t>
      </w:r>
    </w:p>
    <w:p>
      <w:pPr>
        <w:widowControl/>
        <w:spacing w:line="280" w:lineRule="exact"/>
        <w:rPr>
          <w:rFonts w:hint="eastAsia" w:ascii="宋体" w:hAnsi="宋体" w:cs="宋体"/>
          <w:b/>
          <w:bCs w:val="0"/>
          <w:kern w:val="0"/>
          <w:sz w:val="20"/>
          <w:szCs w:val="20"/>
        </w:rPr>
      </w:pPr>
    </w:p>
    <w:tbl>
      <w:tblPr>
        <w:tblStyle w:val="4"/>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67"/>
        <w:gridCol w:w="3583"/>
        <w:gridCol w:w="650"/>
        <w:gridCol w:w="1000"/>
        <w:gridCol w:w="3300"/>
        <w:gridCol w:w="1217"/>
        <w:gridCol w:w="150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625"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序号</w:t>
            </w:r>
          </w:p>
        </w:tc>
        <w:tc>
          <w:tcPr>
            <w:tcW w:w="767"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引进岗位</w:t>
            </w:r>
          </w:p>
        </w:tc>
        <w:tc>
          <w:tcPr>
            <w:tcW w:w="3583"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专业</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职务职称要求</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学历学位要求</w:t>
            </w:r>
          </w:p>
        </w:tc>
        <w:tc>
          <w:tcPr>
            <w:tcW w:w="33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其他要求</w:t>
            </w:r>
          </w:p>
        </w:tc>
        <w:tc>
          <w:tcPr>
            <w:tcW w:w="1217"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需求</w:t>
            </w:r>
            <w:r>
              <w:rPr>
                <w:rFonts w:hint="eastAsia" w:ascii="仿宋" w:hAnsi="仿宋" w:eastAsia="仿宋" w:cs="仿宋"/>
                <w:b/>
                <w:bCs w:val="0"/>
                <w:sz w:val="21"/>
                <w:szCs w:val="21"/>
              </w:rPr>
              <w:br w:type="textWrapping"/>
            </w:r>
            <w:r>
              <w:rPr>
                <w:rFonts w:hint="eastAsia" w:ascii="仿宋" w:hAnsi="仿宋" w:eastAsia="仿宋" w:cs="仿宋"/>
                <w:b/>
                <w:bCs w:val="0"/>
                <w:sz w:val="21"/>
                <w:szCs w:val="21"/>
              </w:rPr>
              <w:t>人数</w:t>
            </w:r>
          </w:p>
        </w:tc>
        <w:tc>
          <w:tcPr>
            <w:tcW w:w="1506"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r>
              <w:rPr>
                <w:rFonts w:hint="eastAsia" w:ascii="仿宋" w:hAnsi="仿宋" w:eastAsia="仿宋" w:cs="仿宋"/>
                <w:b/>
                <w:bCs w:val="0"/>
                <w:sz w:val="21"/>
                <w:szCs w:val="21"/>
              </w:rPr>
              <w:br w:type="textWrapping"/>
            </w:r>
            <w:r>
              <w:rPr>
                <w:rFonts w:hint="eastAsia" w:ascii="仿宋" w:hAnsi="仿宋" w:eastAsia="仿宋" w:cs="仿宋"/>
                <w:b/>
                <w:bCs w:val="0"/>
                <w:sz w:val="21"/>
                <w:szCs w:val="21"/>
              </w:rPr>
              <w:t>方式</w:t>
            </w:r>
          </w:p>
        </w:tc>
        <w:tc>
          <w:tcPr>
            <w:tcW w:w="1582"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语文教师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本科：汉语言文学、汉语言、汉语国际教育、古典文献学、应用语言学、中国语文与文化</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语文）、课程与教学论（语文方向）、文艺学、语言学及应用语言学、汉语言文字学、中国古典文献学、中国古代文学、中国现当代文学、文学阅读与文学教育、比较文学与世界文学、汉语国际教育</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both"/>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高中语文</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初中语文</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625" w:type="dxa"/>
            <w:vMerge w:val="continue"/>
            <w:vAlign w:val="center"/>
          </w:tcPr>
          <w:p>
            <w:pPr>
              <w:ind w:firstLine="422" w:firstLineChars="200"/>
              <w:jc w:val="center"/>
              <w:rPr>
                <w:rFonts w:hint="eastAsia"/>
                <w:b/>
                <w:bCs w:val="0"/>
                <w:lang w:val="en-US" w:eastAsia="zh-CN"/>
              </w:rPr>
            </w:pPr>
          </w:p>
        </w:tc>
        <w:tc>
          <w:tcPr>
            <w:tcW w:w="767" w:type="dxa"/>
            <w:vMerge w:val="continue"/>
            <w:vAlign w:val="center"/>
          </w:tcPr>
          <w:p>
            <w:pPr>
              <w:widowControl/>
              <w:spacing w:line="300" w:lineRule="exact"/>
              <w:jc w:val="center"/>
              <w:rPr>
                <w:b/>
                <w:bCs w:val="0"/>
              </w:rPr>
            </w:pPr>
          </w:p>
        </w:tc>
        <w:tc>
          <w:tcPr>
            <w:tcW w:w="3583" w:type="dxa"/>
            <w:vMerge w:val="continue"/>
            <w:vAlign w:val="center"/>
          </w:tcPr>
          <w:p>
            <w:pPr>
              <w:jc w:val="left"/>
              <w:rPr>
                <w:b/>
                <w:bCs w:val="0"/>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625" w:type="dxa"/>
            <w:vMerge w:val="restart"/>
            <w:vAlign w:val="center"/>
          </w:tcPr>
          <w:p>
            <w:pPr>
              <w:widowControl/>
              <w:spacing w:line="300" w:lineRule="exact"/>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color w:val="000000"/>
                <w:kern w:val="0"/>
                <w:sz w:val="21"/>
                <w:szCs w:val="21"/>
              </w:rPr>
              <w:t>2</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数学教师</w:t>
            </w:r>
          </w:p>
        </w:tc>
        <w:tc>
          <w:tcPr>
            <w:tcW w:w="3583" w:type="dxa"/>
            <w:vMerge w:val="restart"/>
            <w:vAlign w:val="top"/>
          </w:tcPr>
          <w:p>
            <w:pPr>
              <w:jc w:val="left"/>
              <w:rPr>
                <w:rFonts w:hint="eastAsia" w:ascii="仿宋" w:hAnsi="仿宋" w:eastAsia="仿宋" w:cs="仿宋"/>
                <w:b/>
                <w:bCs w:val="0"/>
                <w:sz w:val="21"/>
                <w:szCs w:val="21"/>
              </w:rPr>
            </w:pPr>
          </w:p>
          <w:p>
            <w:pPr>
              <w:ind w:firstLine="211" w:firstLineChars="100"/>
              <w:jc w:val="left"/>
              <w:rPr>
                <w:rFonts w:hint="eastAsia" w:ascii="仿宋" w:hAnsi="仿宋" w:eastAsia="仿宋" w:cs="仿宋"/>
                <w:b/>
                <w:bCs w:val="0"/>
                <w:sz w:val="21"/>
                <w:szCs w:val="21"/>
              </w:rPr>
            </w:pPr>
            <w:r>
              <w:rPr>
                <w:rFonts w:hint="eastAsia" w:ascii="仿宋" w:hAnsi="仿宋" w:eastAsia="仿宋" w:cs="仿宋"/>
                <w:b/>
                <w:bCs w:val="0"/>
                <w:sz w:val="21"/>
                <w:szCs w:val="21"/>
              </w:rPr>
              <w:t>本科：数学与应用数学、信息与计算科学、数理基础科学、应用数学、计算数学及其应用软件、数学</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硕士研究生：学科教学（数学）、课程与教学论（数学方向）、基础数学、计算数学、概率论与数理统计、应用数学、运筹学与控制论</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高中数学</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初中数学</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教师3人；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3</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英语教师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本科：英语、英语语言文学、翻译、商务英语、应用英语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硕士研究生：学科教学（英语）、课程与教学论（英语方向）、外国语言学及应用语言学、翻译硕士专业（英语笔译、英语口译）、英语语言文学</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jc w:val="both"/>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w:t>
            </w:r>
            <w:r>
              <w:rPr>
                <w:rFonts w:hint="eastAsia" w:ascii="仿宋" w:hAnsi="仿宋" w:eastAsia="仿宋" w:cs="仿宋"/>
                <w:b/>
                <w:bCs w:val="0"/>
                <w:sz w:val="21"/>
                <w:szCs w:val="21"/>
              </w:rPr>
              <w:t>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初中英语</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jc w:val="center"/>
              <w:rPr>
                <w:rFonts w:hint="eastAsia" w:ascii="仿宋" w:hAnsi="仿宋" w:eastAsia="仿宋" w:cs="仿宋"/>
                <w:b/>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4</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物理教师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本科：物理学、应用物理学、声学、光学、光学工程、物理学教育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硕士研究生：学科教学（物理）、课程与教学论（物理方向）、理论物理、粒子物理与原子核物理、原子与分子物理、等离子体物理、凝聚态物理、声学、光学、光学工程、无线电物理</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高中物理</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初中物理</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625"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5</w:t>
            </w:r>
          </w:p>
        </w:tc>
        <w:tc>
          <w:tcPr>
            <w:tcW w:w="76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化学教师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本科：化学、应用化学、化学生物学、分子科学与工程、能源化学、化学教育、放射化学</w:t>
            </w:r>
          </w:p>
          <w:p>
            <w:pPr>
              <w:jc w:val="left"/>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硕士研究生：学科教学（化学）、课程与教学论（化学方向）、化学、无机化学、分析化学、有机化学、物理化学、高分子化学与物理、材料化学、化学生物学、环境化学、材料物流与化学、放射化学、化学信息</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高中化学</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教师2人；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color w:val="333333"/>
                <w:kern w:val="0"/>
                <w:sz w:val="21"/>
                <w:szCs w:val="21"/>
                <w:vertAlign w:val="baseline"/>
                <w:lang w:val="en-US" w:eastAsia="zh-CN"/>
              </w:rPr>
            </w:pP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6</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生物教师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本科：生物科学、生物技术、生物信息学、生物信息技术、生物科学与生物技术、生物化学与分子生物学、植物生物技术、动物生物技术、生物工程、生态学</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硕士研究生：学科教学（生物）、课程与教学论（生物方向）、植物学、动物学、水生生物学、微生物学、遗传学、发育生物学、细胞生物学、生物化学与分子生物学、生物物理学、生态学、生物学</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高中生物</w:t>
            </w: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rPr>
                <w:rFonts w:hint="eastAsia" w:ascii="仿宋" w:hAnsi="仿宋" w:eastAsia="仿宋" w:cs="仿宋"/>
                <w:b/>
                <w:bCs w:val="0"/>
                <w:sz w:val="21"/>
                <w:szCs w:val="21"/>
                <w:lang w:val="en-US" w:eastAsia="zh-CN"/>
              </w:rPr>
            </w:pPr>
          </w:p>
          <w:p>
            <w:pP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初中生物</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7</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政治教师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本科：思想政治教育、马克思主义理论、中国共产党历史、科学社会主义</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思政）、课程与教学论（思政方向）、马克思主义基本原理、马克思主义发展史、马克思主义中国化研究、马克思主义中国化、国外马克思主义研究、马克思主义理论与思想政治教育、马克思主义理论、思想政治教育</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高中政治</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初中政治</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8</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历史教师</w:t>
            </w:r>
          </w:p>
        </w:tc>
        <w:tc>
          <w:tcPr>
            <w:tcW w:w="3583" w:type="dxa"/>
            <w:vMerge w:val="restart"/>
            <w:vAlign w:val="center"/>
          </w:tcPr>
          <w:p>
            <w:pPr>
              <w:jc w:val="left"/>
              <w:rPr>
                <w:rFonts w:hint="eastAsia" w:ascii="仿宋" w:hAnsi="仿宋" w:eastAsia="仿宋" w:cs="仿宋"/>
                <w:b/>
                <w:bCs w:val="0"/>
                <w:sz w:val="21"/>
                <w:szCs w:val="21"/>
              </w:rPr>
            </w:pPr>
            <w:r>
              <w:rPr>
                <w:rFonts w:hint="eastAsia" w:ascii="仿宋" w:hAnsi="仿宋" w:eastAsia="仿宋" w:cs="仿宋"/>
                <w:b/>
                <w:bCs w:val="0"/>
                <w:sz w:val="21"/>
                <w:szCs w:val="21"/>
              </w:rPr>
              <w:t>本科：历史学、世界史、考古学、国际关系史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历史）、课程与教学论（历史方向）、中国近现代史基本问题研究、史学理论及史学史、考古学及博物馆学、历史文献学、专门史、中国古代史、中国近现代史、世界史、国际关系史、考古学、中国史</w:t>
            </w:r>
          </w:p>
        </w:tc>
        <w:tc>
          <w:tcPr>
            <w:tcW w:w="65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both"/>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高中历史</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教师1人；</w:t>
            </w: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初中历史</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sz w:val="21"/>
                <w:szCs w:val="21"/>
                <w:lang w:val="en-US" w:eastAsia="zh-CN"/>
              </w:rPr>
            </w:pPr>
          </w:p>
        </w:tc>
        <w:tc>
          <w:tcPr>
            <w:tcW w:w="1000" w:type="dxa"/>
            <w:vAlign w:val="center"/>
          </w:tcPr>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9</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地理教师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本科：地理科学、地理信息科学、自然地理与资源环境、地理学、地理学教育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硕士研究生：学科教学（地理）、课程与教学论（地理方向）、地理、地理学、自然地理学、人文地理学、地图学与地理信息系统</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初中地理教师1人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10</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体育教师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本科：体育教育、运动训练、武术与民族传统体育、运动科学、武术、休闲体育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硕士研究生：学科教学（体育）、课程与教学论（体育方向）、体育人文社会学、运动人体科学、体育教育训练学、民族传统体育学、体育硕士专业（体育教学、运动训练、竞赛组织、社会体育指导）</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w:t>
            </w:r>
            <w:r>
              <w:rPr>
                <w:rFonts w:hint="eastAsia" w:ascii="仿宋" w:hAnsi="仿宋" w:eastAsia="仿宋" w:cs="仿宋"/>
                <w:b/>
                <w:bCs w:val="0"/>
                <w:sz w:val="21"/>
                <w:szCs w:val="21"/>
                <w:lang w:val="en-US" w:eastAsia="zh-CN"/>
              </w:rPr>
              <w:t>应届硕士研究生或</w:t>
            </w:r>
            <w:r>
              <w:rPr>
                <w:rFonts w:hint="eastAsia" w:ascii="仿宋" w:hAnsi="仿宋" w:eastAsia="仿宋" w:cs="仿宋"/>
                <w:b/>
                <w:bCs w:val="0"/>
                <w:sz w:val="21"/>
                <w:szCs w:val="21"/>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jc w:val="center"/>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初中体育</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eastAsia="zh-CN"/>
              </w:rPr>
              <w:t>教师</w:t>
            </w:r>
            <w:r>
              <w:rPr>
                <w:rFonts w:hint="eastAsia" w:ascii="仿宋" w:hAnsi="仿宋" w:eastAsia="仿宋" w:cs="仿宋"/>
                <w:b/>
                <w:bCs w:val="0"/>
                <w:sz w:val="21"/>
                <w:szCs w:val="21"/>
                <w:lang w:val="en-US" w:eastAsia="zh-CN"/>
              </w:rPr>
              <w:t>2人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1</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美术教师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本科：绘画、美术学、中国画、油画、版画、壁画、中国画与书法、书法学</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硕士研究生：美术学、学科教学（美术）、课程与教学论（美术方向）、艺术硕士（美术）</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sz w:val="21"/>
                <w:szCs w:val="21"/>
              </w:rPr>
            </w:pP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sz w:val="21"/>
                <w:szCs w:val="21"/>
                <w:lang w:eastAsia="zh-CN"/>
              </w:rPr>
            </w:pPr>
          </w:p>
          <w:p>
            <w:pPr>
              <w:widowControl/>
              <w:spacing w:line="300" w:lineRule="exact"/>
              <w:jc w:val="both"/>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高中美术</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625"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2</w:t>
            </w:r>
          </w:p>
        </w:tc>
        <w:tc>
          <w:tcPr>
            <w:tcW w:w="76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心理教师</w:t>
            </w:r>
          </w:p>
        </w:tc>
        <w:tc>
          <w:tcPr>
            <w:tcW w:w="3583" w:type="dxa"/>
            <w:vMerge w:val="restart"/>
            <w:vAlign w:val="center"/>
          </w:tcPr>
          <w:p>
            <w:pPr>
              <w:rPr>
                <w:rFonts w:hint="eastAsia" w:ascii="仿宋" w:hAnsi="仿宋" w:eastAsia="仿宋" w:cs="仿宋"/>
                <w:b/>
                <w:bCs w:val="0"/>
                <w:sz w:val="21"/>
                <w:szCs w:val="21"/>
              </w:rPr>
            </w:pPr>
            <w:r>
              <w:rPr>
                <w:rFonts w:hint="eastAsia" w:ascii="仿宋" w:hAnsi="仿宋" w:eastAsia="仿宋" w:cs="仿宋"/>
                <w:b/>
                <w:bCs w:val="0"/>
                <w:sz w:val="21"/>
                <w:szCs w:val="21"/>
              </w:rPr>
              <w:t>本科：心理学、应用心理学、基础心理学</w:t>
            </w:r>
          </w:p>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硕士研究生：学科教学（心理学）、基础心理学、发展与教育心理学、应用心理学、认知神经科学、应用心理</w:t>
            </w:r>
          </w:p>
        </w:tc>
        <w:tc>
          <w:tcPr>
            <w:tcW w:w="65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高级及以上</w:t>
            </w:r>
          </w:p>
        </w:tc>
        <w:tc>
          <w:tcPr>
            <w:tcW w:w="100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全日制本科</w:t>
            </w:r>
          </w:p>
        </w:tc>
        <w:tc>
          <w:tcPr>
            <w:tcW w:w="3300" w:type="dxa"/>
            <w:vMerge w:val="restart"/>
            <w:vAlign w:val="top"/>
          </w:tcPr>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eastAsia="zh-CN"/>
              </w:rPr>
              <w:t>应届硕士研究生或</w:t>
            </w:r>
            <w:r>
              <w:rPr>
                <w:rFonts w:hint="eastAsia" w:ascii="仿宋" w:hAnsi="仿宋" w:eastAsia="仿宋" w:cs="仿宋"/>
                <w:b/>
                <w:bCs w:val="0"/>
                <w:sz w:val="21"/>
                <w:szCs w:val="21"/>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widowControl/>
              <w:spacing w:line="300" w:lineRule="exact"/>
              <w:jc w:val="center"/>
              <w:rPr>
                <w:rFonts w:hint="eastAsia" w:ascii="仿宋" w:hAnsi="仿宋" w:eastAsia="仿宋" w:cs="仿宋"/>
                <w:b/>
                <w:bCs w:val="0"/>
                <w:color w:val="000000"/>
                <w:kern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lang w:val="en-US" w:eastAsia="zh-CN"/>
              </w:rPr>
              <w:t>5人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5"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3</w:t>
            </w:r>
          </w:p>
        </w:tc>
        <w:tc>
          <w:tcPr>
            <w:tcW w:w="76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信息技术教师</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教育技术学、计算机科学技术、计算机科学教育、计算机网络技术、计算机网络工程、计算机网络技术工程、网络技术、网络工程、计算机应用、计算机多媒体技术、多媒体技术、信息与计算机科学、计算机应用技术、多媒体制作、图形图像制作、软件工程、计算机网络、计算机科学与技术、计算机及应用、计算机与信息管理、计算机信息管理、计算机信息应用、计算机软件与理论</w:t>
            </w:r>
          </w:p>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硕士研究生：计算机系统结构、计算机软件与理论、计算机应用技术、计算机科学与技术、软件工程、计算机与信息管理、计算机技术、应用软件工程</w:t>
            </w:r>
          </w:p>
        </w:tc>
        <w:tc>
          <w:tcPr>
            <w:tcW w:w="65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高级及以上</w:t>
            </w:r>
          </w:p>
        </w:tc>
        <w:tc>
          <w:tcPr>
            <w:tcW w:w="1000" w:type="dxa"/>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全日制本科</w:t>
            </w:r>
          </w:p>
        </w:tc>
        <w:tc>
          <w:tcPr>
            <w:tcW w:w="3300" w:type="dxa"/>
            <w:vMerge w:val="restart"/>
            <w:vAlign w:val="center"/>
          </w:tcPr>
          <w:p>
            <w:pP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eastAsia="zh-CN"/>
              </w:rPr>
              <w:t>应届硕士研究生或</w:t>
            </w:r>
            <w:r>
              <w:rPr>
                <w:rFonts w:hint="eastAsia" w:ascii="仿宋" w:hAnsi="仿宋" w:eastAsia="仿宋" w:cs="仿宋"/>
                <w:b/>
                <w:bCs w:val="0"/>
                <w:sz w:val="21"/>
                <w:szCs w:val="21"/>
                <w:highlight w:val="none"/>
              </w:rPr>
              <w:t>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center"/>
          </w:tcPr>
          <w:p>
            <w:pPr>
              <w:jc w:val="center"/>
              <w:rPr>
                <w:rFonts w:hint="eastAsia" w:ascii="仿宋" w:hAnsi="仿宋" w:eastAsia="仿宋" w:cs="仿宋"/>
                <w:b/>
                <w:bCs w:val="0"/>
                <w:color w:val="333333"/>
                <w:kern w:val="0"/>
                <w:sz w:val="21"/>
                <w:szCs w:val="21"/>
                <w:highlight w:val="none"/>
                <w:vertAlign w:val="baseline"/>
                <w:lang w:val="en-US" w:eastAsia="zh-CN"/>
              </w:rPr>
            </w:pPr>
            <w:r>
              <w:rPr>
                <w:rFonts w:hint="eastAsia" w:ascii="仿宋" w:hAnsi="仿宋" w:eastAsia="仿宋" w:cs="仿宋"/>
                <w:b/>
                <w:bCs w:val="0"/>
                <w:sz w:val="21"/>
                <w:szCs w:val="21"/>
                <w:highlight w:val="none"/>
                <w:lang w:val="en-US" w:eastAsia="zh-CN"/>
              </w:rPr>
              <w:t>4人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4</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物理实验员</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本科：物理学、应用物理学、声学、光学、光学工程、物理学教育</w:t>
            </w:r>
          </w:p>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硕士研究生：学科教学（物理）、课程与教学论（物理方向）、理论物理、粒子物理与原子核物理、原子与分子物理、等离子体物理、凝聚态物理、声学、光学、光学工程、无线电物理</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2</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625" w:type="dxa"/>
            <w:vMerge w:val="restart"/>
            <w:vAlign w:val="center"/>
          </w:tcPr>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1</w:t>
            </w:r>
            <w:r>
              <w:rPr>
                <w:rFonts w:hint="eastAsia" w:ascii="仿宋" w:hAnsi="仿宋" w:eastAsia="仿宋" w:cs="仿宋"/>
                <w:b/>
                <w:bCs w:val="0"/>
                <w:sz w:val="21"/>
                <w:szCs w:val="21"/>
                <w:highlight w:val="none"/>
                <w:lang w:val="en-US" w:eastAsia="zh-CN"/>
              </w:rPr>
              <w:t>5</w:t>
            </w:r>
          </w:p>
        </w:tc>
        <w:tc>
          <w:tcPr>
            <w:tcW w:w="767" w:type="dxa"/>
            <w:vMerge w:val="restart"/>
            <w:vAlign w:val="center"/>
          </w:tcPr>
          <w:p>
            <w:pPr>
              <w:jc w:val="cente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化学实验员</w:t>
            </w:r>
          </w:p>
        </w:tc>
        <w:tc>
          <w:tcPr>
            <w:tcW w:w="3583" w:type="dxa"/>
            <w:vMerge w:val="restart"/>
            <w:vAlign w:val="center"/>
          </w:tcPr>
          <w:p>
            <w:pP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本科：化学、应用化学、化学生物学、分子科学与工程、能源化学、化学教育、放射化学</w:t>
            </w:r>
          </w:p>
          <w:p>
            <w:pPr>
              <w:rPr>
                <w:rFonts w:hint="eastAsia" w:ascii="仿宋" w:hAnsi="仿宋" w:eastAsia="仿宋" w:cs="仿宋"/>
                <w:b/>
                <w:bCs w:val="0"/>
                <w:sz w:val="21"/>
                <w:szCs w:val="21"/>
                <w:highlight w:val="none"/>
                <w:lang w:val="en-US" w:eastAsia="zh-CN"/>
              </w:rPr>
            </w:pPr>
            <w:r>
              <w:rPr>
                <w:rFonts w:hint="eastAsia" w:ascii="仿宋" w:hAnsi="仿宋" w:eastAsia="仿宋" w:cs="仿宋"/>
                <w:b/>
                <w:bCs w:val="0"/>
                <w:sz w:val="21"/>
                <w:szCs w:val="21"/>
                <w:highlight w:val="none"/>
              </w:rPr>
              <w:t>硕士研究生：学科教学（化学）、课程与教学论（化学方向）、化学、无机化学、分析化学，有机化学、物理化学、高分子化学与物理、材料化学、化学生物学、环境化学、材料物流与化学、放射化学、化学信息</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1</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625"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1</w:t>
            </w:r>
            <w:r>
              <w:rPr>
                <w:rFonts w:hint="eastAsia" w:ascii="仿宋" w:hAnsi="仿宋" w:eastAsia="仿宋" w:cs="仿宋"/>
                <w:b/>
                <w:bCs w:val="0"/>
                <w:sz w:val="21"/>
                <w:szCs w:val="21"/>
                <w:vertAlign w:val="baseline"/>
                <w:lang w:val="en-US" w:eastAsia="zh-CN"/>
              </w:rPr>
              <w:t>6</w:t>
            </w:r>
          </w:p>
        </w:tc>
        <w:tc>
          <w:tcPr>
            <w:tcW w:w="767"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生物实验员</w:t>
            </w:r>
          </w:p>
        </w:tc>
        <w:tc>
          <w:tcPr>
            <w:tcW w:w="3583" w:type="dxa"/>
            <w:vMerge w:val="restart"/>
            <w:vAlign w:val="center"/>
          </w:tcPr>
          <w:p>
            <w:pPr>
              <w:jc w:val="left"/>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本科：生物科学、生物技术、生物信息学、生物信息技术、生物科学与生物技术、生物化学与分子生物学、植物生物技术、动物生物技术、生物工程、生态学</w:t>
            </w:r>
          </w:p>
          <w:p>
            <w:pPr>
              <w:jc w:val="left"/>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硕士研究生：学科教学（生物）、课程与教学论（生物方向）、植物学、动物学、水生生物学、微生物学、遗传学、发育生物学、细胞生物学、生物化学与分子生物学、生物物理学、生态学、生物学</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center"/>
          </w:tcPr>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应届硕士研究生或具有初级职称的硕士研究生年龄不超过30周岁；具有中级职称的硕士研究生或具有本科及以上学历且取得副高及以上职称的年龄不超过40周岁。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lang w:val="en-US" w:eastAsia="zh-CN"/>
              </w:rPr>
              <w:t>1</w:t>
            </w:r>
            <w:r>
              <w:rPr>
                <w:rFonts w:hint="eastAsia" w:ascii="仿宋" w:hAnsi="仿宋" w:eastAsia="仿宋" w:cs="仿宋"/>
                <w:b/>
                <w:bCs w:val="0"/>
                <w:sz w:val="21"/>
                <w:szCs w:val="21"/>
                <w:highlight w:val="none"/>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625"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1</w:t>
            </w:r>
            <w:r>
              <w:rPr>
                <w:rFonts w:hint="eastAsia" w:ascii="仿宋" w:hAnsi="仿宋" w:eastAsia="仿宋" w:cs="仿宋"/>
                <w:b/>
                <w:bCs w:val="0"/>
                <w:sz w:val="21"/>
                <w:szCs w:val="21"/>
                <w:vertAlign w:val="baseline"/>
                <w:lang w:val="en-US" w:eastAsia="zh-CN"/>
              </w:rPr>
              <w:t>7</w:t>
            </w:r>
          </w:p>
        </w:tc>
        <w:tc>
          <w:tcPr>
            <w:tcW w:w="767" w:type="dxa"/>
            <w:vMerge w:val="restart"/>
            <w:vAlign w:val="center"/>
          </w:tcPr>
          <w:p>
            <w:pPr>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eastAsia="zh-CN"/>
              </w:rPr>
              <w:t>音乐教师</w:t>
            </w:r>
          </w:p>
        </w:tc>
        <w:tc>
          <w:tcPr>
            <w:tcW w:w="3583" w:type="dxa"/>
            <w:vMerge w:val="restart"/>
            <w:vAlign w:val="center"/>
          </w:tcPr>
          <w:p>
            <w:pPr>
              <w:jc w:val="left"/>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本科：音乐学、作曲与作曲技术理论、音乐表演、舞蹈学、舞蹈表演、舞蹈编导、音乐科技与艺术、指挥、舞蹈教育</w:t>
            </w:r>
          </w:p>
          <w:p>
            <w:pPr>
              <w:jc w:val="left"/>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硕士研究生：学科教学（音乐）、课程与教学论（音乐方向）音乐学、舞蹈学、音乐与舞蹈学、 艺术硕士（音乐、舞蹈）</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vertAlign w:val="baseline"/>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highlight w:val="none"/>
                <w:vertAlign w:val="baseline"/>
              </w:rPr>
              <w:t>全日制本科</w:t>
            </w:r>
          </w:p>
        </w:tc>
        <w:tc>
          <w:tcPr>
            <w:tcW w:w="3300" w:type="dxa"/>
            <w:vMerge w:val="restart"/>
            <w:vAlign w:val="top"/>
          </w:tcPr>
          <w:p>
            <w:pPr>
              <w:spacing w:line="400" w:lineRule="exact"/>
              <w:jc w:val="both"/>
              <w:rPr>
                <w:rFonts w:hint="eastAsia" w:ascii="仿宋" w:hAnsi="仿宋" w:eastAsia="仿宋" w:cs="仿宋"/>
                <w:b/>
                <w:bCs w:val="0"/>
                <w:sz w:val="21"/>
                <w:szCs w:val="21"/>
                <w:highlight w:val="none"/>
              </w:rPr>
            </w:pPr>
          </w:p>
          <w:p>
            <w:pPr>
              <w:spacing w:line="400" w:lineRule="exact"/>
              <w:jc w:val="both"/>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highlight w:val="none"/>
              </w:rPr>
              <w:t>1．应届硕士研究生或具有二级教师职称的硕士研究生年龄不超过30周岁；具有一级教师职称的硕士研究生或具有本科及以上学历且取得副高及以上教师职称的年龄不超过40周岁；2．硕士研究生在本科阶段所学专业须与此次招录的本科专业一致；3．需取得对应岗位要求的初、高级中学教师资格证。</w:t>
            </w:r>
          </w:p>
        </w:tc>
        <w:tc>
          <w:tcPr>
            <w:tcW w:w="1217" w:type="dxa"/>
            <w:vMerge w:val="restart"/>
            <w:vAlign w:val="top"/>
          </w:tcPr>
          <w:p>
            <w:pPr>
              <w:widowControl/>
              <w:spacing w:line="300" w:lineRule="exact"/>
              <w:jc w:val="center"/>
              <w:rPr>
                <w:rFonts w:hint="eastAsia" w:ascii="仿宋" w:hAnsi="仿宋" w:eastAsia="仿宋" w:cs="仿宋"/>
                <w:b/>
                <w:bCs w:val="0"/>
                <w:sz w:val="21"/>
                <w:szCs w:val="21"/>
                <w:lang w:eastAsia="zh-CN"/>
              </w:rPr>
            </w:pPr>
          </w:p>
          <w:p>
            <w:pPr>
              <w:widowControl/>
              <w:spacing w:line="300" w:lineRule="exact"/>
              <w:jc w:val="both"/>
              <w:rPr>
                <w:rFonts w:hint="eastAsia" w:ascii="仿宋" w:hAnsi="仿宋" w:eastAsia="仿宋" w:cs="仿宋"/>
                <w:b/>
                <w:bCs w:val="0"/>
                <w:sz w:val="21"/>
                <w:szCs w:val="21"/>
                <w:lang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p>
          <w:p>
            <w:pPr>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高中音乐</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625" w:type="dxa"/>
            <w:vMerge w:val="continue"/>
            <w:vAlign w:val="center"/>
          </w:tcPr>
          <w:p>
            <w:pPr>
              <w:spacing w:line="400" w:lineRule="exact"/>
              <w:jc w:val="center"/>
              <w:rPr>
                <w:rFonts w:hint="eastAsia" w:ascii="仿宋" w:hAnsi="仿宋" w:eastAsia="仿宋" w:cs="仿宋"/>
                <w:b/>
                <w:bCs w:val="0"/>
                <w:color w:val="333333"/>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06"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625"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1</w:t>
            </w:r>
            <w:r>
              <w:rPr>
                <w:rFonts w:hint="eastAsia" w:ascii="仿宋" w:hAnsi="仿宋" w:eastAsia="仿宋" w:cs="仿宋"/>
                <w:b/>
                <w:bCs w:val="0"/>
                <w:sz w:val="21"/>
                <w:szCs w:val="21"/>
                <w:lang w:val="en-US" w:eastAsia="zh-CN"/>
              </w:rPr>
              <w:t>8</w:t>
            </w:r>
          </w:p>
        </w:tc>
        <w:tc>
          <w:tcPr>
            <w:tcW w:w="76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劳动技术指导员</w:t>
            </w:r>
          </w:p>
        </w:tc>
        <w:tc>
          <w:tcPr>
            <w:tcW w:w="3583"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不限</w:t>
            </w:r>
          </w:p>
        </w:tc>
        <w:tc>
          <w:tcPr>
            <w:tcW w:w="650" w:type="dxa"/>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vertAlign w:val="baseline"/>
                <w:lang w:eastAsia="zh-CN"/>
              </w:rPr>
              <w:t>高级及以上</w:t>
            </w:r>
          </w:p>
        </w:tc>
        <w:tc>
          <w:tcPr>
            <w:tcW w:w="1000" w:type="dxa"/>
            <w:vAlign w:val="center"/>
          </w:tcPr>
          <w:p>
            <w:pPr>
              <w:jc w:val="center"/>
              <w:rPr>
                <w:rFonts w:hint="eastAsia" w:ascii="仿宋" w:hAnsi="仿宋" w:eastAsia="仿宋" w:cs="仿宋"/>
                <w:b/>
                <w:bCs w:val="0"/>
                <w:sz w:val="21"/>
                <w:szCs w:val="21"/>
                <w:vertAlign w:val="baseline"/>
                <w:lang w:eastAsia="zh-CN"/>
              </w:rPr>
            </w:pPr>
            <w:r>
              <w:rPr>
                <w:rFonts w:hint="eastAsia" w:ascii="仿宋" w:hAnsi="仿宋" w:eastAsia="仿宋" w:cs="仿宋"/>
                <w:b/>
                <w:bCs w:val="0"/>
                <w:sz w:val="21"/>
                <w:szCs w:val="21"/>
                <w:vertAlign w:val="baseline"/>
                <w:lang w:eastAsia="zh-CN"/>
              </w:rPr>
              <w:t>全日制本科</w:t>
            </w:r>
          </w:p>
        </w:tc>
        <w:tc>
          <w:tcPr>
            <w:tcW w:w="3300" w:type="dxa"/>
            <w:vMerge w:val="restart"/>
            <w:vAlign w:val="center"/>
          </w:tcPr>
          <w:p>
            <w:pPr>
              <w:jc w:val="center"/>
              <w:rPr>
                <w:rFonts w:hint="eastAsia" w:ascii="仿宋" w:hAnsi="仿宋" w:eastAsia="仿宋" w:cs="仿宋"/>
                <w:b/>
                <w:bCs w:val="0"/>
                <w:sz w:val="21"/>
                <w:szCs w:val="21"/>
              </w:rPr>
            </w:pPr>
            <w:r>
              <w:rPr>
                <w:rFonts w:hint="eastAsia" w:ascii="仿宋" w:hAnsi="仿宋" w:eastAsia="仿宋" w:cs="仿宋"/>
                <w:b/>
                <w:bCs w:val="0"/>
                <w:sz w:val="21"/>
                <w:szCs w:val="21"/>
              </w:rPr>
              <w:t>年龄不超过</w:t>
            </w:r>
          </w:p>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40周岁</w:t>
            </w:r>
          </w:p>
        </w:tc>
        <w:tc>
          <w:tcPr>
            <w:tcW w:w="1217" w:type="dxa"/>
            <w:vMerge w:val="restart"/>
            <w:vAlign w:val="center"/>
          </w:tcPr>
          <w:p>
            <w:pPr>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rPr>
              <w:t>2</w:t>
            </w:r>
            <w:r>
              <w:rPr>
                <w:rFonts w:hint="eastAsia" w:ascii="仿宋" w:hAnsi="仿宋" w:eastAsia="仿宋" w:cs="仿宋"/>
                <w:b/>
                <w:bCs w:val="0"/>
                <w:sz w:val="21"/>
                <w:szCs w:val="21"/>
                <w:lang w:eastAsia="zh-CN"/>
              </w:rPr>
              <w:t>人</w:t>
            </w:r>
          </w:p>
        </w:tc>
        <w:tc>
          <w:tcPr>
            <w:tcW w:w="1506" w:type="dxa"/>
            <w:vMerge w:val="restart"/>
            <w:vAlign w:val="center"/>
          </w:tcPr>
          <w:p>
            <w:pPr>
              <w:spacing w:line="40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编制内</w:t>
            </w:r>
          </w:p>
          <w:p>
            <w:pPr>
              <w:spacing w:line="400" w:lineRule="exact"/>
              <w:jc w:val="center"/>
              <w:rPr>
                <w:rFonts w:hint="eastAsia" w:ascii="仿宋" w:hAnsi="仿宋" w:eastAsia="仿宋" w:cs="仿宋"/>
                <w:b/>
                <w:bCs w:val="0"/>
                <w:color w:val="333333"/>
                <w:kern w:val="0"/>
                <w:sz w:val="21"/>
                <w:szCs w:val="21"/>
                <w:vertAlign w:val="baseline"/>
                <w:lang w:val="en-US" w:eastAsia="zh-CN"/>
              </w:rPr>
            </w:pPr>
            <w:r>
              <w:rPr>
                <w:rFonts w:hint="eastAsia" w:ascii="仿宋" w:hAnsi="仿宋" w:eastAsia="仿宋" w:cs="仿宋"/>
                <w:b/>
                <w:bCs w:val="0"/>
                <w:sz w:val="21"/>
                <w:szCs w:val="21"/>
                <w:lang w:eastAsia="zh-CN"/>
              </w:rPr>
              <w:t>引进</w:t>
            </w:r>
          </w:p>
        </w:tc>
        <w:tc>
          <w:tcPr>
            <w:tcW w:w="1582" w:type="dxa"/>
            <w:vMerge w:val="restart"/>
            <w:vAlign w:val="top"/>
          </w:tcPr>
          <w:p>
            <w:pPr>
              <w:spacing w:line="400" w:lineRule="exact"/>
              <w:jc w:val="both"/>
              <w:rPr>
                <w:rFonts w:hint="eastAsia" w:ascii="仿宋" w:hAnsi="仿宋" w:eastAsia="仿宋" w:cs="仿宋"/>
                <w:b/>
                <w:bCs w:val="0"/>
                <w:color w:val="333333"/>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650" w:type="dxa"/>
            <w:vAlign w:val="center"/>
          </w:tcPr>
          <w:p>
            <w:pPr>
              <w:jc w:val="center"/>
              <w:rPr>
                <w:rFonts w:hint="eastAsia" w:ascii="方正小标宋简体" w:hAnsi="黑体" w:eastAsia="方正小标宋简体" w:cs="宋体"/>
                <w:b/>
                <w:bCs w:val="0"/>
                <w:color w:val="333333"/>
                <w:kern w:val="0"/>
                <w:sz w:val="32"/>
                <w:szCs w:val="32"/>
                <w:vertAlign w:val="baseline"/>
                <w:lang w:val="en-US" w:eastAsia="zh-CN"/>
              </w:rPr>
            </w:pPr>
          </w:p>
        </w:tc>
        <w:tc>
          <w:tcPr>
            <w:tcW w:w="1000" w:type="dxa"/>
            <w:vAlign w:val="center"/>
          </w:tcPr>
          <w:p>
            <w:pPr>
              <w:jc w:val="center"/>
              <w:rPr>
                <w:rFonts w:hint="eastAsia"/>
                <w:b/>
                <w:bCs w:val="0"/>
                <w:vertAlign w:val="baseline"/>
                <w:lang w:eastAsia="zh-CN"/>
              </w:rPr>
            </w:pPr>
            <w:r>
              <w:rPr>
                <w:rFonts w:hint="eastAsia" w:ascii="仿宋" w:hAnsi="仿宋" w:eastAsia="仿宋" w:cs="仿宋"/>
                <w:b/>
                <w:bCs w:val="0"/>
                <w:sz w:val="21"/>
                <w:szCs w:val="21"/>
                <w:vertAlign w:val="baseline"/>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06"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333333"/>
                <w:kern w:val="0"/>
                <w:sz w:val="32"/>
                <w:szCs w:val="32"/>
                <w:vertAlign w:val="baseline"/>
                <w:lang w:val="en-US" w:eastAsia="zh-CN"/>
              </w:rPr>
            </w:pPr>
          </w:p>
        </w:tc>
      </w:tr>
    </w:tbl>
    <w:p>
      <w:pPr>
        <w:spacing w:line="400" w:lineRule="exact"/>
        <w:rPr>
          <w:rFonts w:hint="eastAsia" w:ascii="方正小标宋简体" w:hAnsi="黑体" w:eastAsia="方正小标宋简体" w:cs="宋体"/>
          <w:b/>
          <w:bCs w:val="0"/>
          <w:color w:val="333333"/>
          <w:kern w:val="0"/>
          <w:sz w:val="32"/>
          <w:szCs w:val="32"/>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340" w:lineRule="exact"/>
        <w:jc w:val="left"/>
        <w:rPr>
          <w:rFonts w:hint="eastAsia" w:ascii="方正小标宋简体" w:hAnsi="方正小标宋简体" w:eastAsia="方正小标宋简体" w:cs="方正小标宋简体"/>
          <w:b/>
          <w:bCs w:val="0"/>
          <w:sz w:val="32"/>
          <w:szCs w:val="32"/>
          <w:lang w:val="en-US" w:eastAsia="zh-CN"/>
        </w:rPr>
      </w:pPr>
      <w:r>
        <w:rPr>
          <w:rFonts w:hint="eastAsia" w:ascii="方正小标宋简体" w:hAnsi="方正小标宋简体" w:eastAsia="方正小标宋简体" w:cs="方正小标宋简体"/>
          <w:b/>
          <w:bCs w:val="0"/>
          <w:sz w:val="32"/>
          <w:szCs w:val="32"/>
          <w:lang w:eastAsia="zh-CN"/>
        </w:rPr>
        <w:t>附件</w:t>
      </w:r>
      <w:r>
        <w:rPr>
          <w:rFonts w:hint="eastAsia" w:ascii="方正小标宋简体" w:hAnsi="方正小标宋简体" w:eastAsia="方正小标宋简体" w:cs="方正小标宋简体"/>
          <w:b/>
          <w:bCs w:val="0"/>
          <w:sz w:val="32"/>
          <w:szCs w:val="32"/>
          <w:lang w:val="en-US" w:eastAsia="zh-CN"/>
        </w:rPr>
        <w:t>2</w:t>
      </w:r>
    </w:p>
    <w:p>
      <w:pPr>
        <w:spacing w:line="34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四川省南充高级中学</w:t>
      </w:r>
    </w:p>
    <w:p>
      <w:pPr>
        <w:spacing w:line="34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2021年第二批“嘉陵江英才工程”公开</w:t>
      </w:r>
      <w:r>
        <w:rPr>
          <w:rFonts w:hint="eastAsia" w:ascii="方正小标宋简体" w:hAnsi="方正小标宋简体" w:eastAsia="方正小标宋简体" w:cs="方正小标宋简体"/>
          <w:b/>
          <w:bCs w:val="0"/>
          <w:sz w:val="32"/>
          <w:szCs w:val="32"/>
          <w:lang w:eastAsia="zh-CN"/>
        </w:rPr>
        <w:t>引进高层次人才</w:t>
      </w:r>
      <w:r>
        <w:rPr>
          <w:rFonts w:hint="eastAsia" w:ascii="方正小标宋简体" w:hAnsi="方正小标宋简体" w:eastAsia="方正小标宋简体" w:cs="方正小标宋简体"/>
          <w:b/>
          <w:bCs w:val="0"/>
          <w:sz w:val="32"/>
          <w:szCs w:val="32"/>
        </w:rPr>
        <w:t>新冠肺炎疫情防控告知暨承诺书</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二、为避免影响考试，来自国内疫情中高风险地区以及与新冠病毒肺炎确诊、疑似病例或无症状感染者有密切接触史的考生，</w:t>
      </w:r>
      <w:r>
        <w:rPr>
          <w:rFonts w:hint="eastAsia" w:ascii="仿宋" w:hAnsi="仿宋" w:eastAsia="仿宋" w:cs="仿宋"/>
          <w:b/>
          <w:bCs w:val="0"/>
          <w:sz w:val="24"/>
          <w:lang w:val="en-US" w:eastAsia="zh-CN"/>
        </w:rPr>
        <w:t>应至少在面试资格审查前15天到达南充或川内其他低风险地区，</w:t>
      </w:r>
      <w:r>
        <w:rPr>
          <w:rFonts w:hint="eastAsia" w:ascii="仿宋" w:hAnsi="仿宋" w:eastAsia="仿宋" w:cs="仿宋"/>
          <w:b/>
          <w:bCs w:val="0"/>
          <w:sz w:val="24"/>
        </w:rPr>
        <w:t>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六、考生在领取面试通知书前须签署《四川省南充高级中学2021年第二批“嘉陵江英才工程”公开</w:t>
      </w:r>
      <w:r>
        <w:rPr>
          <w:rFonts w:hint="eastAsia" w:ascii="仿宋" w:hAnsi="仿宋" w:eastAsia="仿宋" w:cs="仿宋"/>
          <w:b/>
          <w:bCs w:val="0"/>
          <w:sz w:val="24"/>
          <w:lang w:eastAsia="zh-CN"/>
        </w:rPr>
        <w:t>引进高层次人才</w:t>
      </w:r>
      <w:r>
        <w:rPr>
          <w:rFonts w:hint="eastAsia" w:ascii="仿宋" w:hAnsi="仿宋" w:eastAsia="仿宋" w:cs="仿宋"/>
          <w:b/>
          <w:bCs w:val="0"/>
          <w:sz w:val="24"/>
        </w:rPr>
        <w:t>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bCs w:val="0"/>
          <w:sz w:val="24"/>
        </w:rPr>
      </w:pPr>
      <w:r>
        <w:rPr>
          <w:rFonts w:hint="eastAsia" w:ascii="仿宋" w:hAnsi="仿宋" w:eastAsia="仿宋" w:cs="仿宋"/>
          <w:b/>
          <w:bCs w:val="0"/>
          <w:sz w:val="24"/>
        </w:rPr>
        <w:t>四川省南充高级中学</w:t>
      </w:r>
    </w:p>
    <w:p>
      <w:pPr>
        <w:spacing w:line="340" w:lineRule="exact"/>
        <w:ind w:firstLine="482" w:firstLineChars="200"/>
        <w:jc w:val="right"/>
        <w:rPr>
          <w:rFonts w:hint="eastAsia" w:ascii="仿宋" w:hAnsi="仿宋" w:eastAsia="仿宋" w:cs="仿宋"/>
          <w:b/>
          <w:bCs w:val="0"/>
          <w:sz w:val="24"/>
        </w:rPr>
      </w:pPr>
      <w:r>
        <w:rPr>
          <w:rFonts w:hint="eastAsia" w:ascii="仿宋" w:hAnsi="仿宋" w:eastAsia="仿宋" w:cs="仿宋"/>
          <w:b/>
          <w:bCs w:val="0"/>
          <w:sz w:val="24"/>
        </w:rPr>
        <w:t>2021年xx月xx日</w:t>
      </w:r>
    </w:p>
    <w:p>
      <w:pPr>
        <w:spacing w:line="340" w:lineRule="exact"/>
        <w:rPr>
          <w:rFonts w:hint="eastAsia" w:ascii="仿宋" w:hAnsi="仿宋" w:eastAsia="仿宋" w:cs="仿宋"/>
          <w:b/>
          <w:bCs w:val="0"/>
          <w:sz w:val="24"/>
        </w:rPr>
      </w:pPr>
      <w:r>
        <w:rPr>
          <w:rFonts w:hint="eastAsia" w:ascii="仿宋" w:hAnsi="仿宋" w:eastAsia="仿宋" w:cs="仿宋"/>
          <w:b/>
          <w:bCs w:val="0"/>
          <w:sz w:val="24"/>
        </w:rPr>
        <w:t>...... ..............................................................</w:t>
      </w:r>
    </w:p>
    <w:p>
      <w:pPr>
        <w:spacing w:line="340" w:lineRule="exact"/>
        <w:ind w:firstLine="482" w:firstLineChars="200"/>
        <w:rPr>
          <w:rFonts w:hint="eastAsia" w:ascii="仿宋" w:hAnsi="仿宋" w:eastAsia="仿宋" w:cs="仿宋"/>
          <w:b/>
          <w:bCs w:val="0"/>
          <w:sz w:val="24"/>
        </w:rPr>
      </w:pPr>
      <w:r>
        <w:rPr>
          <w:rFonts w:hint="eastAsia" w:ascii="仿宋" w:hAnsi="仿宋" w:eastAsia="仿宋" w:cs="仿宋"/>
          <w:b/>
          <w:bCs w:val="0"/>
          <w:sz w:val="24"/>
        </w:rPr>
        <w:t>本人已认真阅读《四川省南充高级中学2021年第二批“嘉陵江英才工程”公开</w:t>
      </w:r>
      <w:r>
        <w:rPr>
          <w:rFonts w:hint="eastAsia" w:ascii="仿宋" w:hAnsi="仿宋" w:eastAsia="仿宋" w:cs="仿宋"/>
          <w:b/>
          <w:bCs w:val="0"/>
          <w:sz w:val="24"/>
          <w:lang w:eastAsia="zh-CN"/>
        </w:rPr>
        <w:t>引进高层次人才</w:t>
      </w:r>
      <w:r>
        <w:rPr>
          <w:rFonts w:hint="eastAsia" w:ascii="仿宋" w:hAnsi="仿宋" w:eastAsia="仿宋" w:cs="仿宋"/>
          <w:b/>
          <w:bCs w:val="0"/>
          <w:sz w:val="24"/>
        </w:rPr>
        <w:t>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82" w:firstLineChars="200"/>
        <w:jc w:val="center"/>
        <w:rPr>
          <w:rFonts w:hint="eastAsia" w:ascii="仿宋" w:hAnsi="仿宋" w:eastAsia="仿宋" w:cs="仿宋"/>
          <w:b/>
          <w:bCs w:val="0"/>
        </w:rPr>
      </w:pPr>
      <w:r>
        <w:rPr>
          <w:rFonts w:hint="eastAsia" w:ascii="仿宋" w:hAnsi="仿宋" w:eastAsia="仿宋" w:cs="仿宋"/>
          <w:b/>
          <w:bCs w:val="0"/>
          <w:sz w:val="24"/>
        </w:rPr>
        <w:t xml:space="preserve">                承诺人（签字）：</w:t>
      </w:r>
    </w:p>
    <w:p/>
    <w:sectPr>
      <w:pgSz w:w="11906" w:h="16838"/>
      <w:pgMar w:top="1440" w:right="1803" w:bottom="1440" w:left="1803"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0110B"/>
    <w:rsid w:val="561B02A5"/>
    <w:rsid w:val="6220110B"/>
    <w:rsid w:val="72AD65E8"/>
    <w:rsid w:val="7E44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2021-04-30T09:28:00Z</dcterms:created>
  <dc:creator>Lenovo</dc:creator>
  <cp:lastModifiedBy>ぺ灬cc果冻ル</cp:lastModifiedBy>
  <dcterms:modified xsi:type="dcterms:W3CDTF">2021-05-01T01:54:38Z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